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176</w:t>
      </w:r>
    </w:p>
    <w:p>
      <w:r>
        <w:t>Bundesgericht (BGE), 1979-10-08, FR</w:t>
      </w:r>
    </w:p>
    <w:p>
      <w:r>
        <w:rPr>
          <w:b/>
        </w:rPr>
        <w:t xml:space="preserve">Quelle: </w:t>
      </w:r>
      <w:r>
        <w:t>https://mcp.opencaselaw.ch/entscheid/bge_105 V 176</w:t>
      </w:r>
    </w:p>
    <w:p>
      <w:r>
        <w:t>FR: ATF 105 V 176</w:t>
      </w:r>
    </w:p>
    <w:p>
      <w:r>
        <w:t>IT: DTF 105 V 176</w:t>
      </w:r>
    </w:p>
    <w:p>
      <w:pPr>
        <w:pStyle w:val="Heading2"/>
      </w:pPr>
      <w:r>
        <w:t>Regeste</w:t>
      </w:r>
    </w:p>
    <w:p>
      <w:r>
        <w:t>Regeste Art. 12-12ter KUVG. Zur Pflicht des Versicherten, den Gesundheitsschaden zu vermindern, insbesondere wenn es um therapeutische Massnahmen geht, die ihm angeraten werden.</w:t>
      </w:r>
    </w:p>
    <w:p>
      <w:pPr>
        <w:pStyle w:val="Heading2"/>
      </w:pPr>
      <w:r>
        <w:t>Erwägungen</w:t>
      </w:r>
    </w:p>
    <w:p>
      <w:r>
        <w:rPr>
          <w:b/>
        </w:rPr>
        <w:t>E. 1</w:t>
      </w:r>
    </w:p>
    <w:p>
      <w:r>
        <w:t>L'assurée étant décédée, c'est son mari qui a interjeté recours de droit administratif. Il était légitimé à le faire dans BGE 105 V 176 S. 178 l'intérêt pécuniaire de la succession (cf. ATF 99 V 58 , ainsi que p. ex. l'arrêt du 24 mai 1978 en la cause Zuliani).</w:t>
      </w:r>
    </w:p>
    <w:p>
      <w:r>
        <w:rPr>
          <w:b/>
        </w:rPr>
        <w:t>E. 2</w:t>
      </w:r>
    </w:p>
    <w:p>
      <w:r>
        <w:t>Le premier titre de la LAMA ne contient aucune disposition enjoignant aux assurés de se soumettre à une mesure thérapeutique apte à réduire le dommage assuré (p. ex. une opération de nature à rendre inutile la poursuite d'un traitement ambulatoire ou à permettre une reprise de l'activité lucrative). Or il s'agit là, comme le relèvent les premiers juges, d'un principe essentiel du droit des assurances, rappelé parfois expressément par la loi: les art. 10 al. 2 et 31 al. 1 LAI prescrivent à l'ayant-droit de faciliter toutes les mesures prises en vue de sa réadaptation à la vie professionnelle, voire de tenter d'améliorer sa capacité de gain de sa propre initiative; les art. 18 al. 3 et 4 ainsi que 39 al. 4 LAM permettent d'exiger d'un patient militaire qu'il se soumette à une intervention apte à entraîner une amélioration notable, ou qu'il accepte un changement d'activité propre à améliorer notablement sa capacité de gain; dans l'assurance-chômage, l'assuré a l'obligation de faire son possible pour trouver par lui-même une activité convenable et d'accepter une telle activité que lui propose l'Office du travail ( art. 29 al. 1 let . e et f LAC). Par ailleurs, MAURER (Recht und Praxis der Schweizerischen obligatorischen Unfallversicherung, 2e édition, 1963, p. 198, note 74a en particulier) admet que ce principe trouve son application dans l'assurance-accidents obligatoire également. Il ne saurait en aller autrement dans l'assurance-maladie, cela même si les dispositions internes d'une caisse ne contiennent aucune règle dans ce sens. La Cour de céans a du reste déjà jugé que certains principes fondamentaux de l'assurance s'imposent aux caisses quelle que soit la teneur de leurs statuts (voir p. ex. ATF 98 V 8 , 144, RJAM 1977 No 285, p. 83, en matière de sanctions; ATFA 1967 p. 123, 1968 p. 5, ATF 96 V 8 , RJAM 1971 No 113, p. 225, en matière de réserves en cours d'affiliation; RJAM 1973 No 174, p. 126, en matière de compensation; ATFA 1967 p. 5, ATF 101 V 225 , RJAM 1971 No 98, p. 123, 1973 No 178, p. 157, 1976 No 252, p. 115, en matière de restitution de l'indu).</w:t>
      </w:r>
    </w:p>
    <w:p>
      <w:r>
        <w:rPr>
          <w:b/>
        </w:rPr>
        <w:t>E. 3</w:t>
      </w:r>
    </w:p>
    <w:p>
      <w:r>
        <w:t>Il faut dès lors examiner si l'on pouvait exiger de l'assurée qu'elle se soumît à l'intervention chirurgicale qui lui avait été proposée en 1976 et comportait, en juillet de cette année, un risque opératoire que le professeur R. estimait "à 4% et encore". Or, dans d'autres domaines des assurances sociales, le BGE 105 V 176 S. 179 Tribunal fédéral des assurances a déjà eu l'occasion de juger que l'on ne pouvait pas imposer à un assuré une opération présentant un danger de mort (ATFA 1945 p. 147, en matière d'assurance militaire). Plus récemment, il a considéré que n'était pas exigible l'opération d'une hernie médicalement indiquée, alors qu'une précédente intervention de même nature avait entraîné chez le patient deux embolies pulmonaires dangereuses pour sa vie (ATFA 1965 p. 35, en matière d'assurance-invalidité; cf. art. 31 al. 2 LAI , selon lequel des mesures qui impliquent un risque pour la vie ou la santé ne sont pas raisonnablement exigibles). Dans l'assurance-accidents, MAURER (op. cit., p. 198, en particulier note 75) admet que l'assuré doit se soumettre à une intervention qui, selon l'expérience, n'offre pas de difficultés, ne présente pas un danger pour la vie, entraînera avec certitude ou grande vraisemblance la guérison totale ou une amélioration importante de l'affection et, par là, un accroissement notable de la capacité de gain, et enfin ne provoque pas de souffrances excessives. On ne peut qu'appliquer ces critères dans le domaine de l'assurance-maladie aussi. Ils conduisent à nier en l'occurrence le caractère exigible de l'opération conseillée à l'assurée, opération dont la gravité, malgré les chances de réussite retenues par le professeur R., est généralement reconnue et dont on ne saurait dire qu'elle n'implique, même faite dans de bonnes conditions, aucun danger pour la vie du patient. Dans ces circonstances, il y a lieu d'admettre le recours et d'ordonner le versement de l'indemnité journalière non réduite au-delà du 31 décembre 1976 (et non pas seulement dès le 1er février 1978, comme le demande le recourant; cf. art. 132 let . c OJ), sans qu'il soit nécessaire d'examiner encore si les probabilités de récupération de la capacité de travail et de gain eussent permis elles aussi d'imposer la mesure recommandée à l'assurée. Il incombera à la caisse de rendre une nouvelle décision chiffrant les prestations encore dues, au regard notamment de l' art. 12bis al. 3 LAMA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